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kinsoku/>
        <w:wordWrap/>
        <w:overflowPunct/>
        <w:topLinePunct w:val="0"/>
        <w:autoSpaceDE/>
        <w:autoSpaceDN/>
        <w:bidi w:val="0"/>
        <w:adjustRightInd/>
        <w:spacing w:beforeAutospacing="0" w:afterAutospacing="0" w:line="560" w:lineRule="exact"/>
        <w:jc w:val="cente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行程安排</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82" w:firstLineChars="200"/>
        <w:jc w:val="both"/>
        <w:textAlignment w:val="auto"/>
        <w:rPr>
          <w:rFonts w:hint="default" w:ascii="Times New Roman" w:hAnsi="Times New Roman" w:eastAsia="仿宋_GB2312" w:cs="黑体"/>
          <w:b/>
          <w:bCs/>
          <w:color w:val="auto"/>
          <w:sz w:val="24"/>
          <w:szCs w:val="32"/>
          <w:lang w:val="en-US" w:eastAsia="zh-CN"/>
        </w:rPr>
      </w:pPr>
      <w:r>
        <w:rPr>
          <w:rFonts w:hint="eastAsia" w:ascii="Times New Roman" w:hAnsi="Times New Roman" w:eastAsia="仿宋_GB2312" w:cs="黑体"/>
          <w:b/>
          <w:bCs/>
          <w:color w:val="auto"/>
          <w:sz w:val="24"/>
          <w:szCs w:val="32"/>
          <w:lang w:val="en-US" w:eastAsia="zh-CN"/>
        </w:rPr>
        <w:t>*实际行程以最终确定版本为准</w:t>
      </w:r>
    </w:p>
    <w:tbl>
      <w:tblPr>
        <w:tblStyle w:val="4"/>
        <w:tblW w:w="886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blHeader/>
        </w:trPr>
        <w:tc>
          <w:tcPr>
            <w:tcW w:w="1168" w:type="dxa"/>
            <w:shd w:val="clear" w:color="auto" w:fill="D7D7D7" w:themeFill="background1" w:themeFillShade="D8"/>
          </w:tcPr>
          <w:p>
            <w:pPr>
              <w:jc w:val="center"/>
              <w:rPr>
                <w:rFonts w:hint="eastAsia" w:ascii="微软雅黑" w:hAnsi="微软雅黑" w:eastAsia="微软雅黑" w:cs="微软雅黑"/>
                <w:b/>
                <w:bCs/>
                <w:sz w:val="18"/>
                <w:szCs w:val="18"/>
                <w:vertAlign w:val="baseline"/>
                <w:lang w:val="en-US" w:eastAsia="zh-CN"/>
              </w:rPr>
            </w:pPr>
            <w:r>
              <w:rPr>
                <w:rFonts w:hint="eastAsia" w:ascii="微软雅黑" w:hAnsi="微软雅黑" w:eastAsia="微软雅黑" w:cs="微软雅黑"/>
                <w:b/>
                <w:bCs/>
                <w:sz w:val="18"/>
                <w:szCs w:val="18"/>
                <w:vertAlign w:val="baseline"/>
                <w:lang w:val="en-US" w:eastAsia="zh-CN"/>
              </w:rPr>
              <w:t>日期</w:t>
            </w:r>
          </w:p>
        </w:tc>
        <w:tc>
          <w:tcPr>
            <w:tcW w:w="7695" w:type="dxa"/>
            <w:shd w:val="clear" w:color="auto" w:fill="D7D7D7" w:themeFill="background1" w:themeFillShade="D8"/>
          </w:tcPr>
          <w:p>
            <w:pPr>
              <w:jc w:val="center"/>
              <w:rPr>
                <w:rFonts w:hint="eastAsia" w:ascii="微软雅黑" w:hAnsi="微软雅黑" w:eastAsia="微软雅黑" w:cs="微软雅黑"/>
                <w:b/>
                <w:bCs/>
                <w:sz w:val="18"/>
                <w:szCs w:val="18"/>
                <w:vertAlign w:val="baseline"/>
                <w:lang w:val="en-US" w:eastAsia="zh-CN"/>
              </w:rPr>
            </w:pPr>
            <w:r>
              <w:rPr>
                <w:rFonts w:hint="eastAsia" w:ascii="微软雅黑" w:hAnsi="微软雅黑" w:eastAsia="微软雅黑" w:cs="微软雅黑"/>
                <w:b/>
                <w:bCs/>
                <w:sz w:val="18"/>
                <w:szCs w:val="18"/>
                <w:vertAlign w:val="baseline"/>
                <w:lang w:val="en-US" w:eastAsia="zh-CN"/>
              </w:rPr>
              <w:t>行  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5月19日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周日</w:t>
            </w:r>
          </w:p>
        </w:tc>
        <w:tc>
          <w:tcPr>
            <w:tcW w:w="7695" w:type="dxa"/>
          </w:tcPr>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北京-阿姆斯特丹-瓦赫宁根</w:t>
            </w:r>
          </w:p>
          <w:p>
            <w:pPr>
              <w:ind w:left="540" w:hanging="540" w:hangingChars="300"/>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首都机场集合，搭乘航班飞往荷兰首都阿姆斯特丹，驱车前往瓦赫宁根。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5月20日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周一</w:t>
            </w:r>
          </w:p>
        </w:tc>
        <w:tc>
          <w:tcPr>
            <w:tcW w:w="7695"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瓦赫宁根</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上午：9:00-9:30开课仪式</w:t>
            </w:r>
          </w:p>
          <w:p>
            <w:pPr>
              <w:ind w:left="535" w:leftChars="255" w:firstLine="0" w:firstLineChars="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9:30-12:30荷兰种业发展及管理机最新育种技术。瓦赫宁根大学及研究中心全球排名第一的农业大学，授课老师为其排名第的育种系的系主任及资深教授和高级研究人员。</w:t>
            </w:r>
          </w:p>
          <w:p>
            <w:pPr>
              <w:ind w:left="540" w:hanging="540" w:hangingChars="30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下午：14:00-15:00瓦赫宁根大学及研究中心植物表型与设施园艺实验站参观 NEPC &amp;UniFarm</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 xml:space="preserve">      15:00-17:00荷兰育种企业家交流会</w:t>
            </w:r>
          </w:p>
          <w:p>
            <w:pPr>
              <w:ind w:firstLine="540" w:firstLineChars="30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Solynta全球首家土豆杂交育种企业</w:t>
            </w:r>
          </w:p>
          <w:p>
            <w:pPr>
              <w:ind w:left="535" w:leftChars="255" w:firstLine="0" w:firstLineChars="0"/>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Agri Information Partners农业信息伙伴公司，全球育种行业信息化解决方案的市场领导者。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5月21日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周二</w:t>
            </w:r>
          </w:p>
        </w:tc>
        <w:tc>
          <w:tcPr>
            <w:tcW w:w="7695"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瓦赫宁根</w:t>
            </w:r>
          </w:p>
          <w:p>
            <w:pPr>
              <w:ind w:left="540" w:hanging="540" w:hangingChars="30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上午：09:00-11:00荷兰设施园艺技术与前沿分享，嘉宾为瓦赫宁根大学及研究中心设施园艺主任及资深教授和高级研究人员。</w:t>
            </w:r>
          </w:p>
          <w:p>
            <w:pPr>
              <w:ind w:firstLine="540" w:firstLineChars="300"/>
              <w:rPr>
                <w:rFonts w:hint="eastAsia" w:ascii="微软雅黑" w:hAnsi="微软雅黑" w:eastAsia="微软雅黑" w:cs="微软雅黑"/>
                <w:sz w:val="18"/>
                <w:szCs w:val="18"/>
                <w:vertAlign w:val="baseline"/>
                <w:lang w:val="en-US" w:eastAsia="zh-CN"/>
              </w:rPr>
            </w:pPr>
            <w:r>
              <w:rPr>
                <w:rFonts w:hint="default" w:ascii="微软雅黑" w:hAnsi="微软雅黑" w:eastAsia="微软雅黑" w:cs="微软雅黑"/>
                <w:sz w:val="18"/>
                <w:szCs w:val="18"/>
                <w:vertAlign w:val="baseline"/>
                <w:lang w:val="en-US" w:eastAsia="zh-CN"/>
              </w:rPr>
              <w:t>11:00-12:00采后保鲜技术+农业机器人实验室phenomea参观</w:t>
            </w:r>
            <w:r>
              <w:rPr>
                <w:rFonts w:hint="eastAsia" w:ascii="微软雅黑" w:hAnsi="微软雅黑" w:eastAsia="微软雅黑" w:cs="微软雅黑"/>
                <w:sz w:val="18"/>
                <w:szCs w:val="18"/>
                <w:vertAlign w:val="baseline"/>
                <w:lang w:val="en-US" w:eastAsia="zh-CN"/>
              </w:rPr>
              <w:t>。</w:t>
            </w:r>
          </w:p>
          <w:p>
            <w:pPr>
              <w:ind w:firstLine="540" w:firstLineChars="300"/>
              <w:rPr>
                <w:rFonts w:hint="default" w:ascii="微软雅黑" w:hAnsi="微软雅黑" w:eastAsia="微软雅黑" w:cs="微软雅黑"/>
                <w:sz w:val="18"/>
                <w:szCs w:val="18"/>
                <w:vertAlign w:val="baseline"/>
                <w:lang w:val="en-US" w:eastAsia="zh-CN"/>
              </w:rPr>
            </w:pPr>
            <w:r>
              <w:rPr>
                <w:rFonts w:hint="default" w:ascii="微软雅黑" w:hAnsi="微软雅黑" w:eastAsia="微软雅黑" w:cs="微软雅黑"/>
                <w:sz w:val="18"/>
                <w:szCs w:val="18"/>
                <w:vertAlign w:val="baseline"/>
                <w:lang w:val="en-US" w:eastAsia="zh-CN"/>
              </w:rPr>
              <w:t>12:00-12:45</w:t>
            </w:r>
            <w:r>
              <w:rPr>
                <w:rFonts w:hint="eastAsia" w:ascii="微软雅黑" w:hAnsi="微软雅黑" w:eastAsia="微软雅黑" w:cs="微软雅黑"/>
                <w:sz w:val="18"/>
                <w:szCs w:val="18"/>
                <w:vertAlign w:val="baseline"/>
                <w:lang w:val="en-US" w:eastAsia="zh-CN"/>
              </w:rPr>
              <w:t>瓦赫宁根大学及研究中心</w:t>
            </w:r>
            <w:r>
              <w:rPr>
                <w:rFonts w:hint="default" w:ascii="微软雅黑" w:hAnsi="微软雅黑" w:eastAsia="微软雅黑" w:cs="微软雅黑"/>
                <w:sz w:val="18"/>
                <w:szCs w:val="18"/>
                <w:vertAlign w:val="baseline"/>
                <w:lang w:val="en-US" w:eastAsia="zh-CN"/>
              </w:rPr>
              <w:t>创新创业孵化中心PlusUtra参观</w:t>
            </w:r>
          </w:p>
          <w:p>
            <w:pPr>
              <w:ind w:firstLine="540" w:firstLineChars="300"/>
              <w:rPr>
                <w:rFonts w:hint="eastAsia" w:ascii="微软雅黑" w:hAnsi="微软雅黑" w:eastAsia="微软雅黑" w:cs="微软雅黑"/>
                <w:sz w:val="18"/>
                <w:szCs w:val="18"/>
                <w:vertAlign w:val="baseline"/>
                <w:lang w:val="en-US" w:eastAsia="zh-CN"/>
              </w:rPr>
            </w:pPr>
            <w:r>
              <w:rPr>
                <w:rFonts w:hint="default" w:ascii="微软雅黑" w:hAnsi="微软雅黑" w:eastAsia="微软雅黑" w:cs="微软雅黑"/>
                <w:sz w:val="18"/>
                <w:szCs w:val="18"/>
                <w:vertAlign w:val="baseline"/>
                <w:lang w:val="en-US" w:eastAsia="zh-CN"/>
              </w:rPr>
              <w:t>12:45-14:00联合利华研发总部午餐</w:t>
            </w:r>
            <w:r>
              <w:rPr>
                <w:rFonts w:hint="eastAsia" w:ascii="微软雅黑" w:hAnsi="微软雅黑" w:eastAsia="微软雅黑" w:cs="微软雅黑"/>
                <w:sz w:val="18"/>
                <w:szCs w:val="18"/>
                <w:vertAlign w:val="baseline"/>
                <w:lang w:val="en-US" w:eastAsia="zh-CN"/>
              </w:rPr>
              <w:t>。</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下午：</w:t>
            </w:r>
            <w:r>
              <w:rPr>
                <w:rFonts w:hint="default" w:ascii="微软雅黑" w:hAnsi="微软雅黑" w:eastAsia="微软雅黑" w:cs="微软雅黑"/>
                <w:sz w:val="18"/>
                <w:szCs w:val="18"/>
                <w:vertAlign w:val="baseline"/>
                <w:lang w:val="en-US" w:eastAsia="zh-CN"/>
              </w:rPr>
              <w:t>14:30-16:30科因公司</w:t>
            </w:r>
            <w:r>
              <w:rPr>
                <w:rFonts w:hint="eastAsia" w:ascii="微软雅黑" w:hAnsi="微软雅黑" w:eastAsia="微软雅黑" w:cs="微软雅黑"/>
                <w:sz w:val="18"/>
                <w:szCs w:val="18"/>
                <w:vertAlign w:val="baseline"/>
                <w:lang w:val="en-US" w:eastAsia="zh-CN"/>
              </w:rPr>
              <w:t>，</w:t>
            </w:r>
            <w:r>
              <w:rPr>
                <w:rFonts w:hint="default" w:ascii="微软雅黑" w:hAnsi="微软雅黑" w:eastAsia="微软雅黑" w:cs="微软雅黑"/>
                <w:sz w:val="18"/>
                <w:szCs w:val="18"/>
                <w:vertAlign w:val="baseline"/>
                <w:lang w:val="en-US" w:eastAsia="zh-CN"/>
              </w:rPr>
              <w:t>一致力于育种的生物技术公司，全球十大蔬菜种业公司其中四大</w:t>
            </w:r>
            <w:r>
              <w:rPr>
                <w:rFonts w:hint="eastAsia" w:ascii="微软雅黑" w:hAnsi="微软雅黑" w:eastAsia="微软雅黑" w:cs="微软雅黑"/>
                <w:sz w:val="18"/>
                <w:szCs w:val="18"/>
                <w:vertAlign w:val="baseline"/>
                <w:lang w:val="en-US" w:eastAsia="zh-CN"/>
              </w:rPr>
              <w:t>（</w:t>
            </w:r>
            <w:r>
              <w:rPr>
                <w:rFonts w:hint="default" w:ascii="微软雅黑" w:hAnsi="微软雅黑" w:eastAsia="微软雅黑" w:cs="微软雅黑"/>
                <w:sz w:val="18"/>
                <w:szCs w:val="18"/>
                <w:vertAlign w:val="baseline"/>
                <w:lang w:val="en-US" w:eastAsia="zh-CN"/>
              </w:rPr>
              <w:t>瑞克斯旺、安莎、坂田、威马</w:t>
            </w:r>
            <w:r>
              <w:rPr>
                <w:rFonts w:hint="eastAsia" w:ascii="微软雅黑" w:hAnsi="微软雅黑" w:eastAsia="微软雅黑" w:cs="微软雅黑"/>
                <w:sz w:val="18"/>
                <w:szCs w:val="18"/>
                <w:vertAlign w:val="baseline"/>
                <w:lang w:val="en-US" w:eastAsia="zh-CN"/>
              </w:rPr>
              <w:t>）</w:t>
            </w:r>
            <w:r>
              <w:rPr>
                <w:rFonts w:hint="default" w:ascii="微软雅黑" w:hAnsi="微软雅黑" w:eastAsia="微软雅黑" w:cs="微软雅黑"/>
                <w:sz w:val="18"/>
                <w:szCs w:val="18"/>
                <w:vertAlign w:val="baseline"/>
                <w:lang w:val="en-US" w:eastAsia="zh-CN"/>
              </w:rPr>
              <w:t>的控股生物技术公司</w:t>
            </w:r>
            <w:r>
              <w:rPr>
                <w:rFonts w:hint="eastAsia" w:ascii="微软雅黑" w:hAnsi="微软雅黑" w:eastAsia="微软雅黑" w:cs="微软雅黑"/>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5月22日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周三</w:t>
            </w:r>
          </w:p>
        </w:tc>
        <w:tc>
          <w:tcPr>
            <w:tcW w:w="7695" w:type="dxa"/>
          </w:tcPr>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瓦赫宁根-Bleswijk-阿姆斯特丹</w:t>
            </w:r>
          </w:p>
          <w:p>
            <w:pPr>
              <w:ind w:left="540" w:hanging="540" w:hangingChars="30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上午：09:00-11:00访问Riikzwaan瑞克斯旺全球十大蔬菜种子公司，荷兰最大的家族性质的蔬菜种子公司。</w:t>
            </w:r>
          </w:p>
          <w:p>
            <w:pPr>
              <w:ind w:left="535" w:leftChars="255" w:firstLine="0" w:firstLineChars="0"/>
              <w:rPr>
                <w:rFonts w:hint="default" w:ascii="微软雅黑" w:hAnsi="微软雅黑" w:eastAsia="微软雅黑" w:cs="微软雅黑"/>
                <w:sz w:val="18"/>
                <w:szCs w:val="18"/>
                <w:vertAlign w:val="baseline"/>
                <w:lang w:val="en-US" w:eastAsia="zh-CN"/>
              </w:rPr>
            </w:pPr>
            <w:r>
              <w:rPr>
                <w:rFonts w:hint="default" w:ascii="微软雅黑" w:hAnsi="微软雅黑" w:eastAsia="微软雅黑" w:cs="微软雅黑"/>
                <w:sz w:val="18"/>
                <w:szCs w:val="18"/>
                <w:vertAlign w:val="baseline"/>
                <w:lang w:val="en-US" w:eastAsia="zh-CN"/>
              </w:rPr>
              <w:t>11:30-13:00访问Tomato World</w:t>
            </w:r>
            <w:r>
              <w:rPr>
                <w:rFonts w:hint="eastAsia" w:ascii="微软雅黑" w:hAnsi="微软雅黑" w:eastAsia="微软雅黑" w:cs="微软雅黑"/>
                <w:sz w:val="18"/>
                <w:szCs w:val="18"/>
                <w:vertAlign w:val="baseline"/>
                <w:lang w:val="en-US" w:eastAsia="zh-CN"/>
              </w:rPr>
              <w:t>一</w:t>
            </w:r>
            <w:r>
              <w:rPr>
                <w:rFonts w:hint="default" w:ascii="微软雅黑" w:hAnsi="微软雅黑" w:eastAsia="微软雅黑" w:cs="微软雅黑"/>
                <w:sz w:val="18"/>
                <w:szCs w:val="18"/>
                <w:vertAlign w:val="baseline"/>
                <w:lang w:val="en-US" w:eastAsia="zh-CN"/>
              </w:rPr>
              <w:t>站式感受荷兰园艺产业全球领先的全产业链的技术协助</w:t>
            </w:r>
            <w:r>
              <w:rPr>
                <w:rFonts w:hint="eastAsia" w:ascii="微软雅黑" w:hAnsi="微软雅黑" w:eastAsia="微软雅黑" w:cs="微软雅黑"/>
                <w:sz w:val="18"/>
                <w:szCs w:val="18"/>
                <w:vertAlign w:val="baseline"/>
                <w:lang w:val="en-US" w:eastAsia="zh-CN"/>
              </w:rPr>
              <w:t>或</w:t>
            </w:r>
            <w:r>
              <w:rPr>
                <w:rFonts w:hint="default" w:ascii="微软雅黑" w:hAnsi="微软雅黑" w:eastAsia="微软雅黑" w:cs="微软雅黑"/>
                <w:sz w:val="18"/>
                <w:szCs w:val="18"/>
                <w:vertAlign w:val="baseline"/>
                <w:lang w:val="en-US" w:eastAsia="zh-CN"/>
              </w:rPr>
              <w:t>访问Kepport,全球领先的生物防治技术公司</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下午：</w:t>
            </w:r>
            <w:r>
              <w:rPr>
                <w:rFonts w:hint="default" w:ascii="微软雅黑" w:hAnsi="微软雅黑" w:eastAsia="微软雅黑" w:cs="微软雅黑"/>
                <w:sz w:val="18"/>
                <w:szCs w:val="18"/>
                <w:vertAlign w:val="baseline"/>
                <w:lang w:val="en-US" w:eastAsia="zh-CN"/>
              </w:rPr>
              <w:t>14:30 -16:30 拜</w:t>
            </w:r>
            <w:r>
              <w:rPr>
                <w:rFonts w:hint="eastAsia" w:ascii="微软雅黑" w:hAnsi="微软雅黑" w:eastAsia="微软雅黑" w:cs="微软雅黑"/>
                <w:sz w:val="18"/>
                <w:szCs w:val="18"/>
                <w:vertAlign w:val="baseline"/>
                <w:lang w:val="en-US" w:eastAsia="zh-CN"/>
              </w:rPr>
              <w:t>耳</w:t>
            </w:r>
            <w:r>
              <w:rPr>
                <w:rFonts w:hint="default" w:ascii="微软雅黑" w:hAnsi="微软雅黑" w:eastAsia="微软雅黑" w:cs="微软雅黑"/>
                <w:sz w:val="18"/>
                <w:szCs w:val="18"/>
                <w:vertAlign w:val="baseline"/>
                <w:lang w:val="en-US" w:eastAsia="zh-CN"/>
              </w:rPr>
              <w:t>作物科技全</w:t>
            </w:r>
            <w:r>
              <w:rPr>
                <w:rFonts w:hint="eastAsia" w:ascii="微软雅黑" w:hAnsi="微软雅黑" w:eastAsia="微软雅黑" w:cs="微软雅黑"/>
                <w:sz w:val="18"/>
                <w:szCs w:val="18"/>
                <w:vertAlign w:val="baseline"/>
                <w:lang w:val="en-US" w:eastAsia="zh-CN"/>
              </w:rPr>
              <w:t>球十大</w:t>
            </w:r>
            <w:r>
              <w:rPr>
                <w:rFonts w:hint="default" w:ascii="微软雅黑" w:hAnsi="微软雅黑" w:eastAsia="微软雅黑" w:cs="微软雅黑"/>
                <w:sz w:val="18"/>
                <w:szCs w:val="18"/>
                <w:vertAlign w:val="baseline"/>
                <w:lang w:val="en-US" w:eastAsia="zh-CN"/>
              </w:rPr>
              <w:t>种子公司</w:t>
            </w:r>
            <w:r>
              <w:rPr>
                <w:rFonts w:hint="eastAsia" w:ascii="微软雅黑" w:hAnsi="微软雅黑" w:eastAsia="微软雅黑" w:cs="微软雅黑"/>
                <w:sz w:val="18"/>
                <w:szCs w:val="18"/>
                <w:vertAlign w:val="baseline"/>
                <w:lang w:val="en-US" w:eastAsia="zh-CN"/>
              </w:rPr>
              <w:t>之一。</w:t>
            </w:r>
          </w:p>
          <w:p>
            <w:pPr>
              <w:ind w:firstLine="540" w:firstLineChars="300"/>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随后前往阿姆斯特丹住宿。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5月23日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周四</w:t>
            </w:r>
          </w:p>
        </w:tc>
        <w:tc>
          <w:tcPr>
            <w:tcW w:w="7695"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阿姆斯特丹-Enhuizen-阿姆斯特丹</w:t>
            </w:r>
          </w:p>
          <w:p>
            <w:pPr>
              <w:ind w:left="540" w:hanging="540" w:hangingChars="30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上午：09:00-11:30访问Naktuibouw荷兰园艺总署。该机构是荷兰政府以及欧盟所指定的负责植物新品种批准以及种子质量检测的官方机构。承担着类似于政府机构(如植物新品种保护办公室)的公共职能，却是一个在政府监控之下，致力于提高种子质量的非盈利组织。荷兰种了协会Plantum也会受邀请参加会议做分享。</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下午：14:00-15:30先正达（全球十大蔬菜种子公司，并入到中化集团）</w:t>
            </w:r>
          </w:p>
          <w:p>
            <w:pPr>
              <w:ind w:left="535" w:leftChars="255" w:firstLine="0" w:firstLineChars="0"/>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16:00-17:30 安莎（全球十大蔬菜种子公司，荷兰第二大的家族性质的蔬菜种子公司）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5月24日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周五</w:t>
            </w:r>
          </w:p>
        </w:tc>
        <w:tc>
          <w:tcPr>
            <w:tcW w:w="7695" w:type="dxa"/>
            <w:vAlign w:val="top"/>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阿姆斯特丹-Enhuizen - Lelystad-阿姆斯特丹</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上午：09:00-11:00访问Incotec盈可泰，全球领先的种衣剂公司。</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 xml:space="preserve">      11:30-13:00 访问Seed Processing 荷兰种子加工设备公司。</w:t>
            </w:r>
          </w:p>
          <w:p>
            <w:pPr>
              <w:ind w:left="540" w:hanging="540" w:hangingChars="30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下午：14:00-15:30 访问瓦赫宁根大学及研究中心实验站未来农场了解新的大田农业机器人种保等新技术。</w:t>
            </w:r>
          </w:p>
          <w:p>
            <w:pPr>
              <w:ind w:left="540" w:hanging="540" w:hangingChars="300"/>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 xml:space="preserve">      16:00-17:30访问Meijer Potato Emmeloord实验站全球领先的土豆育种企业。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5月25日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周六</w:t>
            </w:r>
          </w:p>
        </w:tc>
        <w:tc>
          <w:tcPr>
            <w:tcW w:w="7695" w:type="dxa"/>
            <w:vAlign w:val="top"/>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阿姆斯特丹</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文化体验活动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5月26日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周日</w:t>
            </w:r>
          </w:p>
        </w:tc>
        <w:tc>
          <w:tcPr>
            <w:tcW w:w="7695" w:type="dxa"/>
            <w:vAlign w:val="top"/>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阿姆斯特丹-海牙-鹿特丹</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文化体验活动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5月27日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周一</w:t>
            </w:r>
          </w:p>
        </w:tc>
        <w:tc>
          <w:tcPr>
            <w:tcW w:w="7695" w:type="dxa"/>
            <w:vAlign w:val="top"/>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鹿特丹</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2024年世界种子大会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5月28日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周二</w:t>
            </w:r>
          </w:p>
        </w:tc>
        <w:tc>
          <w:tcPr>
            <w:tcW w:w="7695" w:type="dxa"/>
            <w:vAlign w:val="top"/>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鹿特丹</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2024年世界种子大会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5月29日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周三</w:t>
            </w:r>
          </w:p>
        </w:tc>
        <w:tc>
          <w:tcPr>
            <w:tcW w:w="7695" w:type="dxa"/>
            <w:vAlign w:val="top"/>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鹿特丹</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2024年世界种子大会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5月30日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周一</w:t>
            </w:r>
          </w:p>
        </w:tc>
        <w:tc>
          <w:tcPr>
            <w:tcW w:w="7695" w:type="dxa"/>
            <w:vAlign w:val="top"/>
          </w:tcPr>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鹿特丹-科隆</w:t>
            </w:r>
          </w:p>
          <w:p>
            <w:pPr>
              <w:ind w:left="540" w:hanging="540" w:hangingChars="300"/>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参观考察活动。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5月31日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周二</w:t>
            </w:r>
          </w:p>
        </w:tc>
        <w:tc>
          <w:tcPr>
            <w:tcW w:w="7695" w:type="dxa"/>
            <w:vAlign w:val="top"/>
          </w:tcPr>
          <w:p>
            <w:pPr>
              <w:ind w:left="540" w:hanging="540" w:hangingChars="30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科隆-法兰克福</w:t>
            </w:r>
          </w:p>
          <w:p>
            <w:pPr>
              <w:ind w:left="540" w:hanging="540" w:hangingChars="300"/>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参观交流活动。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6月01日</w:t>
            </w:r>
          </w:p>
          <w:p>
            <w:pPr>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周三</w:t>
            </w:r>
          </w:p>
        </w:tc>
        <w:tc>
          <w:tcPr>
            <w:tcW w:w="7695" w:type="dxa"/>
            <w:vAlign w:val="top"/>
          </w:tcPr>
          <w:p>
            <w:pPr>
              <w:ind w:left="540" w:hanging="540" w:hangingChars="30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法兰克福-北京</w:t>
            </w:r>
          </w:p>
          <w:p>
            <w:pPr>
              <w:ind w:left="540" w:hanging="540" w:hangingChars="300"/>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返回国内</w:t>
            </w:r>
          </w:p>
        </w:tc>
      </w:tr>
    </w:tbl>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both"/>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kinsoku/>
        <w:wordWrap/>
        <w:overflowPunct/>
        <w:topLinePunct w:val="0"/>
        <w:autoSpaceDE/>
        <w:autoSpaceDN/>
        <w:bidi w:val="0"/>
        <w:adjustRightInd/>
        <w:spacing w:beforeAutospacing="0" w:afterAutospacing="0" w:line="560" w:lineRule="exact"/>
        <w:jc w:val="cente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报名回执</w:t>
      </w:r>
    </w:p>
    <w:p>
      <w:pPr>
        <w:keepNext w:val="0"/>
        <w:keepLines w:val="0"/>
        <w:pageBreakBefore w:val="0"/>
        <w:kinsoku/>
        <w:wordWrap/>
        <w:overflowPunct/>
        <w:topLinePunct w:val="0"/>
        <w:autoSpaceDE/>
        <w:autoSpaceDN/>
        <w:bidi w:val="0"/>
        <w:adjustRightInd/>
        <w:spacing w:beforeAutospacing="0" w:afterAutospacing="0" w:line="560" w:lineRule="exact"/>
        <w:jc w:val="center"/>
        <w:rPr>
          <w:rFonts w:hint="default" w:ascii="黑体" w:hAnsi="黑体" w:eastAsia="黑体" w:cs="黑体"/>
          <w:sz w:val="32"/>
          <w:szCs w:val="40"/>
          <w:lang w:val="en-US" w:eastAsia="zh-CN"/>
        </w:rPr>
      </w:pPr>
    </w:p>
    <w:p>
      <w:pPr>
        <w:keepNext w:val="0"/>
        <w:keepLines w:val="0"/>
        <w:pageBreakBefore w:val="0"/>
        <w:numPr>
          <w:ilvl w:val="0"/>
          <w:numId w:val="1"/>
        </w:numPr>
        <w:kinsoku/>
        <w:wordWrap/>
        <w:overflowPunct/>
        <w:topLinePunct w:val="0"/>
        <w:autoSpaceDE/>
        <w:autoSpaceDN/>
        <w:bidi w:val="0"/>
        <w:adjustRightInd/>
        <w:spacing w:beforeAutospacing="0" w:afterAutospacing="0" w:line="560" w:lineRule="exact"/>
        <w:ind w:left="420" w:leftChars="0" w:hanging="420" w:firstLineChars="0"/>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单位名称（中英文）：</w:t>
      </w:r>
      <w:r>
        <w:rPr>
          <w:rFonts w:hint="eastAsia" w:ascii="仿宋_GB2312" w:hAnsi="仿宋_GB2312" w:eastAsia="仿宋_GB2312" w:cs="仿宋_GB2312"/>
          <w:sz w:val="28"/>
          <w:szCs w:val="36"/>
          <w:u w:val="single"/>
          <w:lang w:val="en-US" w:eastAsia="zh-CN"/>
        </w:rPr>
        <w:t xml:space="preserve">                                </w:t>
      </w:r>
    </w:p>
    <w:p>
      <w:pPr>
        <w:keepNext w:val="0"/>
        <w:keepLines w:val="0"/>
        <w:pageBreakBefore w:val="0"/>
        <w:numPr>
          <w:ilvl w:val="0"/>
          <w:numId w:val="1"/>
        </w:numPr>
        <w:kinsoku/>
        <w:wordWrap/>
        <w:overflowPunct/>
        <w:topLinePunct w:val="0"/>
        <w:autoSpaceDE/>
        <w:autoSpaceDN/>
        <w:bidi w:val="0"/>
        <w:adjustRightInd/>
        <w:spacing w:beforeAutospacing="0" w:afterAutospacing="0" w:line="560" w:lineRule="exact"/>
        <w:ind w:left="420" w:leftChars="0" w:hanging="420" w:firstLineChars="0"/>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所在单位是否为中国种子协会会员：</w:t>
      </w:r>
      <w:r>
        <w:rPr>
          <w:rFonts w:hint="eastAsia" w:ascii="仿宋_GB2312" w:hAnsi="仿宋_GB2312" w:eastAsia="仿宋_GB2312" w:cs="仿宋_GB2312"/>
          <w:sz w:val="28"/>
          <w:szCs w:val="36"/>
          <w:u w:val="single"/>
          <w:lang w:val="en-US" w:eastAsia="zh-CN"/>
        </w:rPr>
        <w:t xml:space="preserve">                    </w:t>
      </w:r>
    </w:p>
    <w:p>
      <w:pPr>
        <w:keepNext w:val="0"/>
        <w:keepLines w:val="0"/>
        <w:pageBreakBefore w:val="0"/>
        <w:numPr>
          <w:ilvl w:val="0"/>
          <w:numId w:val="1"/>
        </w:numPr>
        <w:kinsoku/>
        <w:wordWrap/>
        <w:overflowPunct/>
        <w:topLinePunct w:val="0"/>
        <w:autoSpaceDE/>
        <w:autoSpaceDN/>
        <w:bidi w:val="0"/>
        <w:adjustRightInd/>
        <w:spacing w:beforeAutospacing="0" w:afterAutospacing="0" w:line="560" w:lineRule="exact"/>
        <w:ind w:left="420" w:leftChars="0" w:hanging="420" w:firstLineChars="0"/>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公司主营业务：</w:t>
      </w:r>
      <w:r>
        <w:rPr>
          <w:rFonts w:hint="eastAsia" w:ascii="仿宋_GB2312" w:hAnsi="仿宋_GB2312" w:eastAsia="仿宋_GB2312" w:cs="仿宋_GB2312"/>
          <w:sz w:val="28"/>
          <w:szCs w:val="36"/>
          <w:u w:val="single"/>
          <w:lang w:val="en-US" w:eastAsia="zh-CN"/>
        </w:rPr>
        <w:t xml:space="preserve">                                      </w:t>
      </w:r>
    </w:p>
    <w:tbl>
      <w:tblPr>
        <w:tblStyle w:val="3"/>
        <w:tblpPr w:leftFromText="180" w:rightFromText="180" w:vertAnchor="text" w:horzAnchor="page" w:tblpXSpec="center" w:tblpY="626"/>
        <w:tblOverlap w:val="never"/>
        <w:tblW w:w="87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45"/>
        <w:gridCol w:w="1488"/>
        <w:gridCol w:w="1320"/>
        <w:gridCol w:w="1320"/>
        <w:gridCol w:w="1506"/>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3" w:hRule="atLeas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rPr>
              <w:t>姓名</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bCs w:val="0"/>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姓名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rPr>
              <w:t>拼音</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bCs w:val="0"/>
                <w:i w:val="0"/>
                <w:color w:val="000000"/>
                <w:kern w:val="2"/>
                <w:sz w:val="24"/>
                <w:szCs w:val="24"/>
                <w:u w:val="none"/>
                <w:lang w:val="en-US" w:eastAsia="zh-CN" w:bidi="ar-SA"/>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联系电话</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bCs w:val="0"/>
                <w:i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性别</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bCs w:val="0"/>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职务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bCs w:val="0"/>
                <w:i w:val="0"/>
                <w:color w:val="000000"/>
                <w:kern w:val="2"/>
                <w:sz w:val="24"/>
                <w:szCs w:val="24"/>
                <w:u w:val="none"/>
                <w:lang w:val="en-US" w:eastAsia="zh-CN" w:bidi="ar-SA"/>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邮箱</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i w:val="0"/>
                <w:color w:val="000000"/>
                <w:sz w:val="24"/>
                <w:szCs w:val="24"/>
                <w:u w:val="none"/>
              </w:rPr>
            </w:pPr>
            <w:r>
              <w:rPr>
                <w:rFonts w:hint="eastAsia" w:ascii="仿宋" w:hAnsi="仿宋" w:eastAsia="仿宋" w:cs="仿宋"/>
                <w:b w:val="0"/>
                <w:bCs/>
                <w:i w:val="0"/>
                <w:color w:val="000000"/>
                <w:kern w:val="0"/>
                <w:sz w:val="24"/>
                <w:szCs w:val="24"/>
                <w:u w:val="none"/>
                <w:lang w:val="en-US" w:eastAsia="zh-CN"/>
              </w:rPr>
              <w:t>英文水平</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bCs w:val="0"/>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通讯地址</w:t>
            </w:r>
            <w:r>
              <w:rPr>
                <w:rFonts w:hint="eastAsia" w:ascii="仿宋" w:hAnsi="仿宋" w:eastAsia="仿宋" w:cs="仿宋"/>
                <w:i w:val="0"/>
                <w:color w:val="000000"/>
                <w:sz w:val="24"/>
                <w:szCs w:val="24"/>
                <w:u w:val="none"/>
                <w:lang w:val="en-US" w:eastAsia="zh-CN"/>
              </w:rPr>
              <w:t>及</w:t>
            </w:r>
            <w:r>
              <w:rPr>
                <w:rFonts w:hint="eastAsia" w:ascii="仿宋" w:hAnsi="仿宋" w:eastAsia="仿宋" w:cs="仿宋"/>
                <w:i w:val="0"/>
                <w:color w:val="000000"/>
                <w:sz w:val="24"/>
                <w:szCs w:val="24"/>
                <w:u w:val="none"/>
                <w:lang w:eastAsia="zh-CN"/>
              </w:rPr>
              <w:t>邮编</w:t>
            </w:r>
          </w:p>
        </w:tc>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护照号码</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bCs w:val="0"/>
                <w:i w:val="0"/>
                <w:color w:val="000000"/>
                <w:kern w:val="0"/>
                <w:sz w:val="24"/>
                <w:szCs w:val="24"/>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护照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签发地</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bCs w:val="0"/>
                <w:i w:val="0"/>
                <w:color w:val="000000"/>
                <w:kern w:val="0"/>
                <w:sz w:val="24"/>
                <w:szCs w:val="24"/>
                <w:u w:val="none"/>
                <w:lang w:val="en-US" w:eastAsia="zh-CN"/>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护照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有效期</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bCs w:val="0"/>
                <w:i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护照</w:t>
            </w:r>
          </w:p>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i w:val="0"/>
                <w:color w:val="000000"/>
                <w:sz w:val="24"/>
                <w:szCs w:val="24"/>
                <w:u w:val="none"/>
              </w:rPr>
            </w:pPr>
            <w:r>
              <w:rPr>
                <w:rFonts w:hint="eastAsia" w:ascii="仿宋" w:hAnsi="仿宋" w:eastAsia="仿宋" w:cs="仿宋"/>
                <w:b w:val="0"/>
                <w:bCs/>
                <w:i w:val="0"/>
                <w:color w:val="000000"/>
                <w:kern w:val="0"/>
                <w:sz w:val="24"/>
                <w:szCs w:val="24"/>
                <w:u w:val="none"/>
                <w:lang w:val="en-US" w:eastAsia="zh-CN"/>
              </w:rPr>
              <w:t>签发时间</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bCs w:val="0"/>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 w:hAnsi="仿宋" w:eastAsia="仿宋" w:cs="仿宋"/>
                <w:b w:val="0"/>
                <w:bCs/>
                <w:i w:val="0"/>
                <w:color w:val="000000"/>
                <w:kern w:val="0"/>
                <w:sz w:val="24"/>
                <w:szCs w:val="24"/>
                <w:u w:val="none"/>
                <w:lang w:val="en-US" w:eastAsia="zh-CN"/>
              </w:rPr>
            </w:pPr>
            <w:r>
              <w:rPr>
                <w:rFonts w:hint="eastAsia" w:ascii="仿宋" w:hAnsi="仿宋" w:eastAsia="仿宋" w:cs="仿宋"/>
                <w:b w:val="0"/>
                <w:bCs/>
                <w:i w:val="0"/>
                <w:color w:val="000000"/>
                <w:kern w:val="0"/>
                <w:sz w:val="24"/>
                <w:szCs w:val="24"/>
                <w:u w:val="none"/>
                <w:lang w:val="en-US" w:eastAsia="zh-CN"/>
              </w:rPr>
              <w:t>舱位</w:t>
            </w:r>
          </w:p>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i w:val="0"/>
                <w:color w:val="000000"/>
                <w:sz w:val="24"/>
                <w:szCs w:val="24"/>
                <w:u w:val="none"/>
              </w:rPr>
            </w:pPr>
            <w:r>
              <w:rPr>
                <w:rFonts w:hint="eastAsia" w:ascii="仿宋" w:hAnsi="仿宋" w:eastAsia="仿宋" w:cs="仿宋"/>
                <w:b w:val="0"/>
                <w:bCs/>
                <w:i w:val="0"/>
                <w:color w:val="000000"/>
                <w:kern w:val="0"/>
                <w:sz w:val="24"/>
                <w:szCs w:val="24"/>
                <w:u w:val="none"/>
                <w:lang w:val="en-US" w:eastAsia="zh-CN"/>
              </w:rPr>
              <w:t>选择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bCs w:val="0"/>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rPr>
              <w:t>经济舱/商务舱</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i w:val="0"/>
                <w:color w:val="000000"/>
                <w:sz w:val="24"/>
                <w:szCs w:val="24"/>
                <w:u w:val="none"/>
              </w:rPr>
            </w:pPr>
            <w:r>
              <w:rPr>
                <w:rFonts w:hint="eastAsia" w:ascii="仿宋" w:hAnsi="仿宋" w:eastAsia="仿宋" w:cs="仿宋"/>
                <w:b w:val="0"/>
                <w:bCs/>
                <w:i w:val="0"/>
                <w:color w:val="000000"/>
                <w:kern w:val="0"/>
                <w:sz w:val="24"/>
                <w:szCs w:val="24"/>
                <w:u w:val="none"/>
                <w:lang w:val="en-US" w:eastAsia="zh-CN"/>
              </w:rPr>
              <w:t>房间选择</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rPr>
                <w:rFonts w:hint="eastAsia" w:ascii="仿宋" w:hAnsi="仿宋" w:eastAsia="仿宋" w:cs="仿宋"/>
                <w:b/>
                <w:bCs w:val="0"/>
                <w:i w:val="0"/>
                <w:color w:val="000000"/>
                <w:sz w:val="24"/>
                <w:szCs w:val="24"/>
                <w:u w:val="none"/>
              </w:rPr>
            </w:pPr>
            <w:r>
              <w:rPr>
                <w:rFonts w:hint="eastAsia" w:ascii="仿宋" w:hAnsi="仿宋" w:eastAsia="仿宋" w:cs="仿宋"/>
                <w:b w:val="0"/>
                <w:bCs/>
                <w:i w:val="0"/>
                <w:color w:val="000000"/>
                <w:kern w:val="0"/>
                <w:sz w:val="24"/>
                <w:szCs w:val="24"/>
                <w:u w:val="none"/>
                <w:lang w:val="en-US" w:eastAsia="zh-CN"/>
              </w:rPr>
              <w:t>标间/单间</w:t>
            </w:r>
          </w:p>
        </w:tc>
      </w:tr>
    </w:tbl>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both"/>
        <w:rPr>
          <w:rFonts w:hint="default"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420"/>
        <w:jc w:val="both"/>
        <w:rPr>
          <w:rFonts w:hint="eastAsia" w:ascii="仿宋_GB2312" w:hAnsi="仿宋_GB2312" w:eastAsia="仿宋_GB2312" w:cs="仿宋_GB2312"/>
          <w:sz w:val="32"/>
          <w:szCs w:val="32"/>
        </w:rPr>
      </w:pPr>
    </w:p>
    <w:p>
      <w:bookmarkStart w:id="0" w:name="_GoBack"/>
      <w:bookmarkEnd w:id="0"/>
    </w:p>
    <w:sectPr>
      <w:pgSz w:w="11906" w:h="16838"/>
      <w:pgMar w:top="1157" w:right="1519" w:bottom="115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87C54F"/>
    <w:multiLevelType w:val="singleLevel"/>
    <w:tmpl w:val="7B87C54F"/>
    <w:lvl w:ilvl="0" w:tentative="0">
      <w:start w:val="1"/>
      <w:numFmt w:val="bullet"/>
      <w:lvlText w:val=""/>
      <w:lvlJc w:val="left"/>
      <w:pPr>
        <w:ind w:left="420" w:leftChars="0" w:hanging="420" w:firstLineChars="0"/>
      </w:pPr>
      <w:rPr>
        <w:rFonts w:hint="default"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NjIwZDQ2NzU0MjVmODFiMDUyMWQ0NGE1NzUyYzkifQ=="/>
  </w:docVars>
  <w:rsids>
    <w:rsidRoot w:val="13462BF7"/>
    <w:rsid w:val="1346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2024-02-01T06:48:00Z</dcterms:created>
  <dc:creator>happy</dc:creator>
  <cp:lastModifiedBy>happy</cp:lastModifiedBy>
  <dcterms:modified xsi:type="dcterms:W3CDTF">2024-02-01T06:48:44Z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CDE5221A0C1142DBA9BB13E9B8D007CE_11</vt:lpwstr>
  </property>
</Properties>
</file>