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Autospacing="0" w:line="560" w:lineRule="exact"/>
        <w:ind w:firstLine="0" w:firstLineChars="0"/>
        <w:jc w:val="left"/>
        <w:textAlignment w:val="auto"/>
        <w:outlineLvl w:val="9"/>
        <w:rPr>
          <w:rFonts w:hint="eastAsia" w:ascii="仿宋_GB2312" w:hAnsi="仿宋_GB2312" w:eastAsia="仿宋_GB2312" w:cs="仿宋_GB2312"/>
          <w:color w:val="000000"/>
          <w:kern w:val="0"/>
          <w:sz w:val="32"/>
          <w:szCs w:val="32"/>
          <w:lang w:val="en-US" w:eastAsia="zh-CN" w:bidi="en-US"/>
        </w:rPr>
      </w:pPr>
      <w:r>
        <w:rPr>
          <w:rFonts w:hint="eastAsia" w:ascii="仿宋_GB2312" w:hAnsi="仿宋_GB2312" w:eastAsia="仿宋_GB2312" w:cs="仿宋_GB2312"/>
          <w:color w:val="000000"/>
          <w:kern w:val="0"/>
          <w:sz w:val="32"/>
          <w:szCs w:val="32"/>
          <w:lang w:val="en-US" w:eastAsia="zh-CN" w:bidi="en-US"/>
        </w:rPr>
        <w:t>附件：</w:t>
      </w:r>
    </w:p>
    <w:p>
      <w:pPr>
        <w:pageBreakBefore w:val="0"/>
        <w:widowControl/>
        <w:kinsoku/>
        <w:wordWrap/>
        <w:overflowPunct/>
        <w:topLinePunct w:val="0"/>
        <w:autoSpaceDE/>
        <w:autoSpaceDN/>
        <w:bidi w:val="0"/>
        <w:adjustRightInd/>
        <w:snapToGrid/>
        <w:spacing w:afterAutospacing="0" w:line="560" w:lineRule="exact"/>
        <w:ind w:firstLine="0" w:firstLineChars="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2024中国种子（南繁硅谷）大会东阳鲜食玉米种业展示会</w:t>
      </w:r>
    </w:p>
    <w:p>
      <w:pPr>
        <w:pageBreakBefore w:val="0"/>
        <w:widowControl/>
        <w:kinsoku/>
        <w:wordWrap/>
        <w:overflowPunct/>
        <w:topLinePunct w:val="0"/>
        <w:autoSpaceDE/>
        <w:autoSpaceDN/>
        <w:bidi w:val="0"/>
        <w:adjustRightInd/>
        <w:snapToGrid/>
        <w:spacing w:afterAutospacing="0"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参展品种征集表</w:t>
      </w:r>
    </w:p>
    <w:p>
      <w:pPr>
        <w:pageBreakBefore w:val="0"/>
        <w:kinsoku/>
        <w:wordWrap/>
        <w:overflowPunct/>
        <w:topLinePunct w:val="0"/>
        <w:autoSpaceDE/>
        <w:autoSpaceDN/>
        <w:bidi w:val="0"/>
        <w:adjustRightInd/>
        <w:snapToGrid/>
        <w:spacing w:afterAutospacing="0" w:line="560" w:lineRule="exact"/>
        <w:ind w:firstLine="482" w:firstLineChars="200"/>
        <w:jc w:val="left"/>
        <w:textAlignment w:val="auto"/>
        <w:rPr>
          <w:rFonts w:hint="eastAsia" w:ascii="楷体" w:hAnsi="楷体" w:eastAsia="楷体" w:cs="楷体"/>
          <w:b/>
          <w:color w:val="FF0000"/>
          <w:sz w:val="24"/>
        </w:rPr>
      </w:pPr>
    </w:p>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ascii="楷体" w:hAnsi="楷体" w:eastAsia="楷体" w:cs="楷体"/>
          <w:b/>
          <w:color w:val="FF0000"/>
          <w:sz w:val="24"/>
          <w:u w:val="single"/>
        </w:rPr>
      </w:pPr>
      <w:r>
        <w:rPr>
          <w:rFonts w:hint="eastAsia" w:ascii="楷体" w:hAnsi="楷体" w:eastAsia="楷体" w:cs="楷体"/>
          <w:b/>
          <w:color w:val="FF0000"/>
          <w:sz w:val="24"/>
        </w:rPr>
        <w:t>参展单位：</w:t>
      </w:r>
    </w:p>
    <w:tbl>
      <w:tblPr>
        <w:tblStyle w:val="4"/>
        <w:tblpPr w:leftFromText="180" w:rightFromText="180" w:vertAnchor="text" w:horzAnchor="page" w:tblpX="983" w:tblpY="45"/>
        <w:tblOverlap w:val="never"/>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28"/>
        <w:gridCol w:w="1845"/>
        <w:gridCol w:w="1384"/>
        <w:gridCol w:w="1635"/>
        <w:gridCol w:w="133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szCs w:val="21"/>
              </w:rPr>
            </w:pPr>
            <w:r>
              <w:rPr>
                <w:rFonts w:hint="eastAsia" w:ascii="华文仿宋" w:hAnsi="华文仿宋" w:eastAsia="华文仿宋" w:cs="华文仿宋"/>
                <w:b/>
                <w:bCs/>
                <w:szCs w:val="21"/>
              </w:rPr>
              <w:t>序号</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品种</w:t>
            </w:r>
          </w:p>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名称</w:t>
            </w: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lang w:val="en-US" w:eastAsia="zh-CN"/>
              </w:rPr>
            </w:pPr>
            <w:r>
              <w:rPr>
                <w:rFonts w:hint="eastAsia" w:ascii="华文仿宋" w:hAnsi="华文仿宋" w:eastAsia="华文仿宋" w:cs="华文仿宋"/>
                <w:b/>
                <w:bCs/>
                <w:color w:val="FF0000"/>
                <w:szCs w:val="21"/>
                <w:lang w:val="en-US" w:eastAsia="zh-CN"/>
              </w:rPr>
              <w:t>审定情况</w:t>
            </w:r>
          </w:p>
          <w:p>
            <w:pPr>
              <w:pStyle w:val="6"/>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default"/>
                <w:lang w:val="en-US" w:eastAsia="zh-CN"/>
              </w:rPr>
            </w:pPr>
            <w:r>
              <w:rPr>
                <w:rFonts w:hint="eastAsia" w:ascii="华文仿宋" w:hAnsi="华文仿宋" w:eastAsia="华文仿宋" w:cs="华文仿宋"/>
                <w:b/>
                <w:bCs/>
                <w:color w:val="FF0000"/>
                <w:szCs w:val="21"/>
                <w:lang w:val="en-US" w:eastAsia="zh-CN"/>
              </w:rPr>
              <w:t>已审（审定编号），区一、区二、生试(国家、省)</w:t>
            </w: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品种类别</w:t>
            </w:r>
          </w:p>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（甜、糯、甜糯）</w:t>
            </w: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籽粒颜色（白、黄、黄白、红、黑、彩）</w:t>
            </w: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color w:val="FF0000"/>
                <w:szCs w:val="21"/>
              </w:rPr>
            </w:pPr>
            <w:r>
              <w:rPr>
                <w:rFonts w:hint="eastAsia" w:ascii="华文仿宋" w:hAnsi="华文仿宋" w:eastAsia="华文仿宋" w:cs="华文仿宋"/>
                <w:b/>
                <w:bCs/>
                <w:color w:val="FF0000"/>
                <w:szCs w:val="21"/>
              </w:rPr>
              <w:t>生育期（出苗至采收天数）</w:t>
            </w: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szCs w:val="21"/>
              </w:rPr>
            </w:pPr>
            <w:r>
              <w:rPr>
                <w:rFonts w:hint="eastAsia" w:ascii="华文仿宋" w:hAnsi="华文仿宋" w:eastAsia="华文仿宋" w:cs="华文仿宋"/>
                <w:b/>
                <w:bCs/>
                <w:szCs w:val="21"/>
              </w:rPr>
              <w:t>重要特征特性</w:t>
            </w:r>
          </w:p>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华文仿宋" w:hAnsi="华文仿宋" w:eastAsia="华文仿宋" w:cs="华文仿宋"/>
                <w:b/>
                <w:bCs/>
                <w:szCs w:val="21"/>
              </w:rPr>
            </w:pPr>
            <w:r>
              <w:rPr>
                <w:rFonts w:hint="eastAsia" w:ascii="华文仿宋" w:hAnsi="华文仿宋" w:eastAsia="华文仿宋" w:cs="华文仿宋"/>
                <w:b/>
                <w:bCs/>
                <w:szCs w:val="21"/>
              </w:rPr>
              <w:t>及栽培技术要点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示例</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eastAsia="zh-CN"/>
              </w:rPr>
              <w:t>甜玉</w:t>
            </w:r>
            <w:r>
              <w:rPr>
                <w:rFonts w:hint="eastAsia" w:ascii="仿宋_GB2312" w:hAnsi="仿宋_GB2312" w:eastAsia="仿宋_GB2312" w:cs="仿宋_GB2312"/>
                <w:b/>
                <w:bCs/>
                <w:szCs w:val="21"/>
                <w:lang w:val="en-US" w:eastAsia="zh-CN"/>
              </w:rPr>
              <w:t>1号</w:t>
            </w: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国审……</w:t>
            </w: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eastAsia="zh-CN"/>
              </w:rPr>
              <w:t>甜玉米</w:t>
            </w: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eastAsia="zh-CN"/>
              </w:rPr>
              <w:t>白色</w:t>
            </w: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73天</w:t>
            </w: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6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1128"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84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84"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6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1335"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c>
          <w:tcPr>
            <w:tcW w:w="2127" w:type="dxa"/>
            <w:vAlign w:val="center"/>
          </w:tcPr>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仿宋_GB2312" w:hAnsi="仿宋_GB2312" w:eastAsia="仿宋_GB2312" w:cs="仿宋_GB2312"/>
                <w:sz w:val="24"/>
              </w:rPr>
            </w:pPr>
          </w:p>
        </w:tc>
      </w:tr>
    </w:tbl>
    <w:p>
      <w:pPr>
        <w:pageBreakBefore w:val="0"/>
        <w:kinsoku/>
        <w:wordWrap/>
        <w:overflowPunct/>
        <w:topLinePunct w:val="0"/>
        <w:autoSpaceDE/>
        <w:autoSpaceDN/>
        <w:bidi w:val="0"/>
        <w:adjustRightInd/>
        <w:snapToGrid/>
        <w:spacing w:afterAutospacing="0" w:line="240" w:lineRule="auto"/>
        <w:ind w:firstLine="482" w:firstLineChars="200"/>
        <w:jc w:val="left"/>
        <w:textAlignment w:val="auto"/>
        <w:rPr>
          <w:rFonts w:hint="eastAsia" w:ascii="楷体" w:hAnsi="楷体" w:eastAsia="楷体" w:cs="楷体"/>
          <w:b/>
          <w:color w:val="FF0000"/>
          <w:sz w:val="24"/>
        </w:rPr>
      </w:pPr>
    </w:p>
    <w:p>
      <w:pPr>
        <w:pageBreakBefore w:val="0"/>
        <w:kinsoku/>
        <w:wordWrap/>
        <w:overflowPunct/>
        <w:topLinePunct w:val="0"/>
        <w:autoSpaceDE/>
        <w:autoSpaceDN/>
        <w:bidi w:val="0"/>
        <w:adjustRightInd/>
        <w:snapToGrid/>
        <w:spacing w:afterAutospacing="0" w:line="240" w:lineRule="auto"/>
        <w:ind w:firstLine="0" w:firstLineChars="0"/>
        <w:jc w:val="left"/>
        <w:textAlignment w:val="auto"/>
        <w:rPr>
          <w:rFonts w:hint="eastAsia" w:ascii="楷体" w:hAnsi="楷体" w:eastAsia="楷体" w:cs="楷体"/>
          <w:b/>
          <w:color w:val="FF0000"/>
          <w:sz w:val="24"/>
          <w:lang w:eastAsia="zh-CN"/>
        </w:rPr>
      </w:pPr>
      <w:r>
        <w:rPr>
          <w:rFonts w:hint="eastAsia" w:ascii="楷体" w:hAnsi="楷体" w:eastAsia="楷体" w:cs="楷体"/>
          <w:b/>
          <w:color w:val="FF0000"/>
          <w:sz w:val="24"/>
        </w:rPr>
        <w:t>注：红色为必填项</w:t>
      </w:r>
      <w:r>
        <w:rPr>
          <w:rFonts w:hint="eastAsia" w:ascii="楷体" w:hAnsi="楷体" w:eastAsia="楷体" w:cs="楷体"/>
          <w:b/>
          <w:color w:val="FF0000"/>
          <w:sz w:val="24"/>
          <w:lang w:eastAsia="zh-CN"/>
        </w:rPr>
        <w:t>。务必注明品种审定情况、品种类型（温带、热带或温热带）、品种生育期，以便合理安排种植日期，确保参试品种在观摩期间最佳表现。</w:t>
      </w:r>
    </w:p>
    <w:p>
      <w:pPr>
        <w:pageBreakBefore w:val="0"/>
        <w:kinsoku/>
        <w:wordWrap/>
        <w:overflowPunct/>
        <w:topLinePunct w:val="0"/>
        <w:autoSpaceDE/>
        <w:autoSpaceDN/>
        <w:bidi w:val="0"/>
        <w:adjustRightInd/>
        <w:snapToGrid/>
        <w:spacing w:afterAutospacing="0" w:line="36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送样</w:t>
      </w:r>
      <w:r>
        <w:rPr>
          <w:rFonts w:hint="eastAsia" w:ascii="仿宋_GB2312" w:hAnsi="仿宋_GB2312" w:eastAsia="仿宋_GB2312" w:cs="仿宋_GB2312"/>
          <w:sz w:val="24"/>
          <w:lang w:eastAsia="zh-CN"/>
        </w:rPr>
        <w:t>单位（盖章）：</w:t>
      </w:r>
    </w:p>
    <w:p>
      <w:pPr>
        <w:pageBreakBefore w:val="0"/>
        <w:kinsoku/>
        <w:wordWrap/>
        <w:overflowPunct/>
        <w:topLinePunct w:val="0"/>
        <w:autoSpaceDE/>
        <w:autoSpaceDN/>
        <w:bidi w:val="0"/>
        <w:adjustRightInd/>
        <w:snapToGrid/>
        <w:spacing w:afterAutospacing="0" w:line="36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联系人：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联系电话：</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Email：</w:t>
      </w:r>
    </w:p>
    <w:p>
      <w:pPr>
        <w:pageBreakBefore w:val="0"/>
        <w:kinsoku/>
        <w:wordWrap/>
        <w:overflowPunct/>
        <w:topLinePunct w:val="0"/>
        <w:autoSpaceDE/>
        <w:autoSpaceDN/>
        <w:bidi w:val="0"/>
        <w:adjustRightInd/>
        <w:snapToGrid/>
        <w:spacing w:afterAutospacing="0" w:line="360"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（备注：回执请发邮件至：</w:t>
      </w:r>
      <w:r>
        <w:rPr>
          <w:rFonts w:hint="eastAsia" w:ascii="仿宋_GB2312" w:hAnsi="仿宋_GB2312" w:eastAsia="仿宋_GB2312" w:cs="仿宋_GB2312"/>
          <w:sz w:val="24"/>
          <w:szCs w:val="24"/>
          <w:lang w:val="en-US" w:eastAsia="zh-CN"/>
        </w:rPr>
        <w:t>wuzhenxing1991@163.com</w:t>
      </w:r>
      <w:r>
        <w:rPr>
          <w:rFonts w:hint="eastAsia" w:ascii="仿宋_GB2312" w:hAnsi="仿宋_GB2312" w:eastAsia="仿宋_GB2312" w:cs="仿宋_GB2312"/>
          <w:sz w:val="24"/>
          <w:szCs w:val="24"/>
        </w:rPr>
        <w:t>）</w:t>
      </w:r>
    </w:p>
    <w:p>
      <w:pPr>
        <w:pageBreakBefore w:val="0"/>
        <w:kinsoku/>
        <w:wordWrap/>
        <w:overflowPunct/>
        <w:topLinePunct w:val="0"/>
        <w:autoSpaceDE/>
        <w:autoSpaceDN/>
        <w:bidi w:val="0"/>
        <w:adjustRightInd/>
        <w:snapToGrid/>
        <w:spacing w:afterAutospacing="0" w:line="360" w:lineRule="auto"/>
        <w:ind w:firstLine="0" w:firstLineChars="0"/>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b/>
          <w:bCs/>
          <w:sz w:val="24"/>
        </w:rPr>
        <w:t>种子</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lang w:val="en-US" w:eastAsia="zh-CN"/>
        </w:rPr>
        <w:t>以及纸质版回执</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rPr>
        <w:t>邮寄地址：</w:t>
      </w:r>
      <w:r>
        <w:rPr>
          <w:rFonts w:hint="eastAsia" w:ascii="仿宋_GB2312" w:hAnsi="仿宋_GB2312" w:eastAsia="仿宋_GB2312" w:cs="仿宋_GB2312"/>
          <w:sz w:val="24"/>
          <w:lang w:val="en-US" w:eastAsia="zh-CN"/>
        </w:rPr>
        <w:t>浙江省东阳市城东街道塘西浙江省农业科学院玉米与特色旱粮研究所；</w:t>
      </w:r>
      <w:r>
        <w:rPr>
          <w:rFonts w:hint="eastAsia" w:ascii="仿宋_GB2312" w:hAnsi="仿宋_GB2312" w:eastAsia="仿宋_GB2312" w:cs="仿宋_GB2312"/>
          <w:sz w:val="24"/>
        </w:rPr>
        <w:t>收件人：</w:t>
      </w:r>
      <w:r>
        <w:rPr>
          <w:rFonts w:hint="eastAsia" w:ascii="仿宋_GB2312" w:hAnsi="仿宋_GB2312" w:eastAsia="仿宋_GB2312" w:cs="仿宋_GB2312"/>
          <w:sz w:val="24"/>
          <w:lang w:val="en-US" w:eastAsia="zh-CN"/>
        </w:rPr>
        <w:t>吕桂华；电话：13454997051</w:t>
      </w:r>
    </w:p>
    <w:p>
      <w:bookmarkStart w:id="0" w:name="_GoBack"/>
      <w:bookmarkEnd w:id="0"/>
    </w:p>
    <w:sectPr>
      <w:footerReference r:id="rId5" w:type="default"/>
      <w:pgSz w:w="11907" w:h="16839"/>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jIwZDQ2NzU0MjVmODFiMDUyMWQ0NGE1NzUyYzkifQ=="/>
  </w:docVars>
  <w:rsids>
    <w:rsidRoot w:val="318A7F13"/>
    <w:rsid w:val="318A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_Style 3"/>
    <w:basedOn w:val="1"/>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2024-02-01T07:27:00Z</dcterms:created>
  <dc:creator>happy</dc:creator>
  <cp:lastModifiedBy>happy</cp:lastModifiedBy>
  <dcterms:modified xsi:type="dcterms:W3CDTF">2024-02-01T07:28:09Z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29BA5D76756241B1A1CCFCAC7C3371B6_11</vt:lpwstr>
  </property>
</Properties>
</file>